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120" w:after="120" w:line="360" w:lineRule="auto"/>
        <w:textAlignment w:val="auto"/>
        <w:rPr>
          <w:rFonts w:ascii="Times New Roman" w:hAnsi="Times New Roman" w:eastAsia="宋体"/>
          <w:sz w:val="30"/>
          <w:szCs w:val="30"/>
        </w:rPr>
      </w:pPr>
      <w:r>
        <w:rPr>
          <w:rFonts w:hint="eastAsia" w:ascii="Times New Roman" w:hAnsi="Times New Roman" w:eastAsia="宋体"/>
          <w:sz w:val="30"/>
          <w:szCs w:val="30"/>
        </w:rPr>
        <w:t>珠海恺瑞无血清培养基本要素（1.</w:t>
      </w:r>
      <w:r>
        <w:rPr>
          <w:rFonts w:hint="eastAsia" w:eastAsia="宋体"/>
          <w:sz w:val="30"/>
          <w:szCs w:val="30"/>
          <w:lang w:val="en-US" w:eastAsia="zh-CN"/>
        </w:rPr>
        <w:t>3</w:t>
      </w:r>
      <w:bookmarkStart w:id="0" w:name="_GoBack"/>
      <w:bookmarkEnd w:id="0"/>
      <w:r>
        <w:rPr>
          <w:rFonts w:hint="eastAsia" w:ascii="Times New Roman" w:hAnsi="Times New Roman" w:eastAsia="宋体"/>
          <w:sz w:val="30"/>
          <w:szCs w:val="30"/>
        </w:rPr>
        <w:t>版）</w:t>
      </w:r>
    </w:p>
    <w:p>
      <w:pPr>
        <w:pStyle w:val="2"/>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ascii="Times New Roman" w:hAnsi="Times New Roman" w:eastAsia="宋体"/>
        </w:rPr>
      </w:pPr>
      <w:r>
        <w:rPr>
          <w:rFonts w:hint="eastAsia" w:ascii="Times New Roman" w:hAnsi="Times New Roman" w:eastAsia="宋体"/>
        </w:rPr>
        <w:t>无血清培养液的使用</w:t>
      </w:r>
    </w:p>
    <w:p>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rPr>
      </w:pPr>
      <w:r>
        <w:rPr>
          <w:rFonts w:hint="eastAsia" w:ascii="Times New Roman" w:hAnsi="Times New Roman" w:eastAsia="宋体"/>
        </w:rPr>
        <w:t>哺乳动物细胞的无血清培养技术已经被广泛应用于生物医学基础研究及生物医药的研发和生产。珠海恺瑞生物科技有限公司研发及生产用于高密度无血清悬浮培养的CHO和HEK293细胞培养液，以及其它多种细胞的特殊无血清培养体系，包括用于培养杂交瘤细胞、干细胞、NK细胞及T细胞等细胞的各种化学限定无血清培养液及重组蛋白添加因子</w:t>
      </w:r>
      <w:r>
        <w:rPr>
          <w:rFonts w:ascii="Times New Roman" w:hAnsi="Times New Roman" w:eastAsia="宋体"/>
        </w:rPr>
        <w:t>。</w:t>
      </w:r>
    </w:p>
    <w:p>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rPr>
      </w:pPr>
      <w:r>
        <w:rPr>
          <w:rFonts w:hint="eastAsia" w:ascii="Times New Roman" w:hAnsi="Times New Roman" w:eastAsia="宋体"/>
        </w:rPr>
        <w:t>在体外模拟生理条件的无血清细胞培养系统通常涉及如下试剂，需要根据无血清培养的基本方法以及不同细胞的特点搭配使用。</w:t>
      </w:r>
    </w:p>
    <w:p>
      <w:pPr>
        <w:pStyle w:val="11"/>
        <w:pageBreakBefore w:val="0"/>
        <w:widowControl/>
        <w:numPr>
          <w:ilvl w:val="0"/>
          <w:numId w:val="2"/>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b/>
          <w:sz w:val="24"/>
          <w:szCs w:val="24"/>
        </w:rPr>
        <w:t>基础培养液</w:t>
      </w:r>
      <w:r>
        <w:rPr>
          <w:rFonts w:hint="eastAsia" w:ascii="Times New Roman" w:hAnsi="Times New Roman" w:eastAsia="宋体"/>
          <w:sz w:val="24"/>
          <w:szCs w:val="24"/>
        </w:rPr>
        <w:t>： 基础培养液为细胞提供细胞生长所需的所有营养物质，需要在医用冰箱（4-8℃）中避光保存。</w:t>
      </w:r>
    </w:p>
    <w:p>
      <w:pPr>
        <w:pStyle w:val="11"/>
        <w:pageBreakBefore w:val="0"/>
        <w:widowControl/>
        <w:numPr>
          <w:ilvl w:val="0"/>
          <w:numId w:val="2"/>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b/>
          <w:sz w:val="24"/>
          <w:szCs w:val="24"/>
        </w:rPr>
        <w:t>基础添加因子</w:t>
      </w:r>
      <w:r>
        <w:rPr>
          <w:rFonts w:hint="eastAsia" w:ascii="Times New Roman" w:hAnsi="Times New Roman" w:eastAsia="宋体"/>
          <w:sz w:val="24"/>
          <w:szCs w:val="24"/>
        </w:rPr>
        <w:t>（如ITS</w:t>
      </w:r>
      <w:r>
        <w:rPr>
          <w:rFonts w:ascii="Times New Roman" w:hAnsi="Times New Roman" w:eastAsia="宋体"/>
          <w:sz w:val="24"/>
          <w:szCs w:val="24"/>
        </w:rPr>
        <w:t>plus</w:t>
      </w:r>
      <w:r>
        <w:rPr>
          <w:rFonts w:hint="eastAsia" w:ascii="Times New Roman" w:hAnsi="Times New Roman" w:eastAsia="宋体"/>
          <w:sz w:val="24"/>
          <w:szCs w:val="24"/>
        </w:rPr>
        <w:t>）：大多数细胞在无血清培养环境下都需要胰岛素、转运蛋白和微量元素硒。因为这些生长因子的不稳定性，所以在使用时临时添加效果最佳，切勿将ITS</w:t>
      </w:r>
      <w:r>
        <w:rPr>
          <w:rFonts w:ascii="Times New Roman" w:hAnsi="Times New Roman" w:eastAsia="宋体"/>
          <w:sz w:val="24"/>
          <w:szCs w:val="24"/>
        </w:rPr>
        <w:t xml:space="preserve">plus </w:t>
      </w:r>
      <w:r>
        <w:rPr>
          <w:rFonts w:hint="eastAsia" w:ascii="Times New Roman" w:hAnsi="Times New Roman" w:eastAsia="宋体"/>
          <w:sz w:val="24"/>
          <w:szCs w:val="24"/>
        </w:rPr>
        <w:t>加入培养液后长期保存，否则会失去活性。</w:t>
      </w:r>
    </w:p>
    <w:p>
      <w:pPr>
        <w:pStyle w:val="11"/>
        <w:pageBreakBefore w:val="0"/>
        <w:widowControl/>
        <w:numPr>
          <w:ilvl w:val="0"/>
          <w:numId w:val="2"/>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b/>
          <w:sz w:val="24"/>
          <w:szCs w:val="24"/>
        </w:rPr>
        <w:t>细胞种类特异生长因子或细胞因子</w:t>
      </w:r>
      <w:r>
        <w:rPr>
          <w:rFonts w:hint="eastAsia" w:ascii="Times New Roman" w:hAnsi="Times New Roman" w:eastAsia="宋体"/>
          <w:sz w:val="24"/>
          <w:szCs w:val="24"/>
        </w:rPr>
        <w:t>：不同种类的细胞所需的特异生长因子有所不同。</w:t>
      </w:r>
    </w:p>
    <w:p>
      <w:pPr>
        <w:pStyle w:val="11"/>
        <w:pageBreakBefore w:val="0"/>
        <w:widowControl/>
        <w:numPr>
          <w:ilvl w:val="0"/>
          <w:numId w:val="3"/>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T细胞需要CD3抗体、CD28抗体和IL-2</w:t>
      </w:r>
      <w:r>
        <w:rPr>
          <w:rFonts w:ascii="Times New Roman" w:hAnsi="Times New Roman" w:eastAsia="宋体"/>
          <w:sz w:val="24"/>
          <w:szCs w:val="24"/>
        </w:rPr>
        <w:t xml:space="preserve"> </w:t>
      </w:r>
      <w:r>
        <w:rPr>
          <w:rFonts w:hint="eastAsia" w:ascii="Times New Roman" w:hAnsi="Times New Roman" w:eastAsia="宋体"/>
          <w:sz w:val="24"/>
          <w:szCs w:val="24"/>
        </w:rPr>
        <w:t xml:space="preserve">等作为刺激T细胞活化和生长的因子； </w:t>
      </w:r>
    </w:p>
    <w:p>
      <w:pPr>
        <w:pStyle w:val="11"/>
        <w:pageBreakBefore w:val="0"/>
        <w:widowControl/>
        <w:numPr>
          <w:ilvl w:val="0"/>
          <w:numId w:val="3"/>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NK</w:t>
      </w:r>
      <w:r>
        <w:rPr>
          <w:rFonts w:ascii="Times New Roman" w:hAnsi="Times New Roman" w:eastAsia="宋体"/>
          <w:sz w:val="24"/>
          <w:szCs w:val="24"/>
        </w:rPr>
        <w:t xml:space="preserve"> </w:t>
      </w:r>
      <w:r>
        <w:rPr>
          <w:rFonts w:hint="eastAsia" w:ascii="Times New Roman" w:hAnsi="Times New Roman" w:eastAsia="宋体"/>
          <w:sz w:val="24"/>
          <w:szCs w:val="24"/>
        </w:rPr>
        <w:t xml:space="preserve">细胞需要IL-2、IL-12和IL-15； </w:t>
      </w:r>
    </w:p>
    <w:p>
      <w:pPr>
        <w:pStyle w:val="11"/>
        <w:pageBreakBefore w:val="0"/>
        <w:widowControl/>
        <w:numPr>
          <w:ilvl w:val="0"/>
          <w:numId w:val="3"/>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扩增脐带血NK细胞则需要Stem</w:t>
      </w:r>
      <w:r>
        <w:rPr>
          <w:rFonts w:ascii="Times New Roman" w:hAnsi="Times New Roman" w:eastAsia="宋体"/>
          <w:sz w:val="24"/>
          <w:szCs w:val="24"/>
        </w:rPr>
        <w:t xml:space="preserve"> </w:t>
      </w:r>
      <w:r>
        <w:rPr>
          <w:rFonts w:hint="eastAsia" w:ascii="Times New Roman" w:hAnsi="Times New Roman" w:eastAsia="宋体"/>
          <w:sz w:val="24"/>
          <w:szCs w:val="24"/>
        </w:rPr>
        <w:t>Cell</w:t>
      </w:r>
      <w:r>
        <w:rPr>
          <w:rFonts w:ascii="Times New Roman" w:hAnsi="Times New Roman" w:eastAsia="宋体"/>
          <w:sz w:val="24"/>
          <w:szCs w:val="24"/>
        </w:rPr>
        <w:t xml:space="preserve"> </w:t>
      </w:r>
      <w:r>
        <w:rPr>
          <w:rFonts w:hint="eastAsia" w:ascii="Times New Roman" w:hAnsi="Times New Roman" w:eastAsia="宋体"/>
          <w:sz w:val="24"/>
          <w:szCs w:val="24"/>
        </w:rPr>
        <w:t>Factor、</w:t>
      </w:r>
      <w:r>
        <w:rPr>
          <w:rFonts w:ascii="Times New Roman" w:hAnsi="Times New Roman" w:eastAsia="宋体"/>
          <w:sz w:val="24"/>
          <w:szCs w:val="24"/>
        </w:rPr>
        <w:t xml:space="preserve">flt-3 </w:t>
      </w:r>
      <w:r>
        <w:rPr>
          <w:rFonts w:hint="eastAsia" w:ascii="Times New Roman" w:hAnsi="Times New Roman" w:eastAsia="宋体"/>
          <w:sz w:val="24"/>
          <w:szCs w:val="24"/>
        </w:rPr>
        <w:t>配体、T</w:t>
      </w:r>
      <w:r>
        <w:rPr>
          <w:rFonts w:ascii="Times New Roman" w:hAnsi="Times New Roman" w:eastAsia="宋体"/>
          <w:sz w:val="24"/>
          <w:szCs w:val="24"/>
        </w:rPr>
        <w:t>PO</w:t>
      </w:r>
      <w:r>
        <w:rPr>
          <w:rFonts w:hint="eastAsia" w:ascii="Times New Roman" w:hAnsi="Times New Roman" w:eastAsia="宋体"/>
          <w:sz w:val="24"/>
          <w:szCs w:val="24"/>
        </w:rPr>
        <w:t>、</w:t>
      </w:r>
      <w:r>
        <w:rPr>
          <w:rFonts w:ascii="Times New Roman" w:hAnsi="Times New Roman" w:eastAsia="宋体"/>
          <w:sz w:val="24"/>
          <w:szCs w:val="24"/>
        </w:rPr>
        <w:t>IL-2</w:t>
      </w:r>
      <w:r>
        <w:rPr>
          <w:rFonts w:hint="eastAsia" w:ascii="Times New Roman" w:hAnsi="Times New Roman" w:eastAsia="宋体"/>
          <w:sz w:val="24"/>
          <w:szCs w:val="24"/>
        </w:rPr>
        <w:t>、</w:t>
      </w:r>
      <w:r>
        <w:rPr>
          <w:rFonts w:ascii="Times New Roman" w:hAnsi="Times New Roman" w:eastAsia="宋体"/>
          <w:sz w:val="24"/>
          <w:szCs w:val="24"/>
        </w:rPr>
        <w:t xml:space="preserve">IL-7 </w:t>
      </w:r>
      <w:r>
        <w:rPr>
          <w:rFonts w:hint="eastAsia" w:ascii="Times New Roman" w:hAnsi="Times New Roman" w:eastAsia="宋体"/>
          <w:sz w:val="24"/>
          <w:szCs w:val="24"/>
        </w:rPr>
        <w:t xml:space="preserve">和IL-15； </w:t>
      </w:r>
    </w:p>
    <w:p>
      <w:pPr>
        <w:pStyle w:val="11"/>
        <w:pageBreakBefore w:val="0"/>
        <w:widowControl/>
        <w:numPr>
          <w:ilvl w:val="0"/>
          <w:numId w:val="3"/>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间充质干细胞需要EGF、碱性FGF、酸性FGF、PDGF和肝素；</w:t>
      </w:r>
    </w:p>
    <w:p>
      <w:pPr>
        <w:pStyle w:val="11"/>
        <w:pageBreakBefore w:val="0"/>
        <w:widowControl/>
        <w:numPr>
          <w:ilvl w:val="0"/>
          <w:numId w:val="3"/>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人 ES和IPS</w:t>
      </w:r>
      <w:r>
        <w:rPr>
          <w:rFonts w:ascii="Times New Roman" w:hAnsi="Times New Roman" w:eastAsia="宋体"/>
          <w:sz w:val="24"/>
          <w:szCs w:val="24"/>
        </w:rPr>
        <w:t xml:space="preserve"> </w:t>
      </w:r>
      <w:r>
        <w:rPr>
          <w:rFonts w:hint="eastAsia" w:ascii="Times New Roman" w:hAnsi="Times New Roman" w:eastAsia="宋体"/>
          <w:sz w:val="24"/>
          <w:szCs w:val="24"/>
        </w:rPr>
        <w:t>细胞需要肝素、碱性FGF和TGF</w:t>
      </w:r>
      <w:r>
        <w:rPr>
          <w:rFonts w:ascii="Times New Roman" w:hAnsi="Times New Roman" w:eastAsia="宋体" w:cstheme="minorHAnsi"/>
          <w:sz w:val="24"/>
          <w:szCs w:val="24"/>
        </w:rPr>
        <w:t>β</w:t>
      </w:r>
      <w:r>
        <w:rPr>
          <w:rFonts w:hint="eastAsia" w:ascii="Times New Roman" w:hAnsi="Times New Roman" w:eastAsia="宋体"/>
          <w:sz w:val="24"/>
          <w:szCs w:val="24"/>
        </w:rPr>
        <w:t>。</w:t>
      </w:r>
    </w:p>
    <w:p>
      <w:pPr>
        <w:pStyle w:val="11"/>
        <w:pageBreakBefore w:val="0"/>
        <w:widowControl/>
        <w:numPr>
          <w:ilvl w:val="0"/>
          <w:numId w:val="3"/>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由于这些因子在常温下活性较易丧失，因此使用者需根据自己每次实验的使用量分装冻存（-20℃</w:t>
      </w:r>
      <w:r>
        <w:rPr>
          <w:rFonts w:ascii="Times New Roman" w:hAnsi="Times New Roman" w:eastAsia="宋体"/>
          <w:sz w:val="24"/>
          <w:szCs w:val="24"/>
        </w:rPr>
        <w:t xml:space="preserve"> </w:t>
      </w:r>
      <w:r>
        <w:rPr>
          <w:rFonts w:hint="eastAsia" w:ascii="Times New Roman" w:hAnsi="Times New Roman" w:eastAsia="宋体"/>
          <w:sz w:val="24"/>
          <w:szCs w:val="24"/>
        </w:rPr>
        <w:t>或-80℃），避免反复冻融。</w:t>
      </w:r>
    </w:p>
    <w:p>
      <w:pPr>
        <w:pStyle w:val="11"/>
        <w:pageBreakBefore w:val="0"/>
        <w:widowControl/>
        <w:numPr>
          <w:ilvl w:val="0"/>
          <w:numId w:val="2"/>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b/>
          <w:sz w:val="24"/>
          <w:szCs w:val="24"/>
        </w:rPr>
        <w:t>贴壁因子</w:t>
      </w:r>
      <w:r>
        <w:rPr>
          <w:rFonts w:hint="eastAsia" w:ascii="Times New Roman" w:hAnsi="Times New Roman" w:eastAsia="宋体"/>
          <w:sz w:val="24"/>
          <w:szCs w:val="24"/>
        </w:rPr>
        <w:t>：除血细胞（包括T细胞， B细胞和NK细胞）不需要贴壁因子外，大多数细胞在单层无血清培养时需要贴壁因子， 比如用胶原蛋白培养上皮细胞、用</w:t>
      </w:r>
      <w:r>
        <w:rPr>
          <w:rFonts w:ascii="Times New Roman" w:hAnsi="Times New Roman" w:eastAsia="宋体"/>
          <w:sz w:val="24"/>
          <w:szCs w:val="24"/>
        </w:rPr>
        <w:t xml:space="preserve">Laminin </w:t>
      </w:r>
      <w:r>
        <w:rPr>
          <w:rFonts w:hint="eastAsia" w:ascii="Times New Roman" w:hAnsi="Times New Roman" w:eastAsia="宋体"/>
          <w:sz w:val="24"/>
          <w:szCs w:val="24"/>
        </w:rPr>
        <w:t>培养ES和</w:t>
      </w:r>
      <w:r>
        <w:rPr>
          <w:rFonts w:ascii="Times New Roman" w:hAnsi="Times New Roman" w:eastAsia="宋体"/>
          <w:sz w:val="24"/>
          <w:szCs w:val="24"/>
        </w:rPr>
        <w:t>iPS</w:t>
      </w:r>
      <w:r>
        <w:rPr>
          <w:rFonts w:hint="eastAsia" w:ascii="Times New Roman" w:hAnsi="Times New Roman" w:eastAsia="宋体"/>
          <w:sz w:val="24"/>
          <w:szCs w:val="24"/>
        </w:rPr>
        <w:t>细胞以及神经细胞等。</w:t>
      </w:r>
      <w:r>
        <w:rPr>
          <w:rFonts w:ascii="Times New Roman" w:hAnsi="Times New Roman" w:eastAsia="宋体"/>
          <w:sz w:val="24"/>
          <w:szCs w:val="24"/>
        </w:rPr>
        <w:t xml:space="preserve"> </w:t>
      </w:r>
    </w:p>
    <w:p>
      <w:pPr>
        <w:pStyle w:val="11"/>
        <w:pageBreakBefore w:val="0"/>
        <w:widowControl/>
        <w:kinsoku/>
        <w:wordWrap/>
        <w:overflowPunct/>
        <w:topLinePunct w:val="0"/>
        <w:autoSpaceDE/>
        <w:autoSpaceDN/>
        <w:bidi w:val="0"/>
        <w:adjustRightInd/>
        <w:snapToGrid/>
        <w:spacing w:after="0" w:line="360" w:lineRule="auto"/>
        <w:ind w:left="0"/>
        <w:textAlignment w:val="auto"/>
        <w:rPr>
          <w:rFonts w:ascii="Times New Roman" w:hAnsi="Times New Roman" w:eastAsia="宋体"/>
          <w:sz w:val="24"/>
          <w:szCs w:val="24"/>
        </w:rPr>
      </w:pPr>
    </w:p>
    <w:p>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rPr>
      </w:pPr>
      <w:r>
        <w:rPr>
          <w:rFonts w:hint="eastAsia" w:ascii="Times New Roman" w:hAnsi="Times New Roman" w:eastAsia="宋体"/>
        </w:rPr>
        <w:t>珠海恺瑞生物提供的基础培养液和ITS</w:t>
      </w:r>
      <w:r>
        <w:rPr>
          <w:rFonts w:ascii="Times New Roman" w:hAnsi="Times New Roman" w:eastAsia="宋体"/>
        </w:rPr>
        <w:t>plus</w:t>
      </w:r>
      <w:r>
        <w:rPr>
          <w:rFonts w:hint="eastAsia" w:ascii="Times New Roman" w:hAnsi="Times New Roman" w:eastAsia="宋体"/>
        </w:rPr>
        <w:t>可以满足上述第一和第二项条件。用户在使用珠海恺瑞无血清培养液替换现用培养液时，可以根据自身经验，使用不同的因子来全面满足特定细胞的无血清培养条件，或可尝试使用珠海恺瑞推荐的其它替代产品。</w:t>
      </w:r>
    </w:p>
    <w:p>
      <w:pPr>
        <w:pStyle w:val="2"/>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Times New Roman" w:hAnsi="Times New Roman" w:eastAsia="宋体"/>
        </w:rPr>
      </w:pPr>
      <w:r>
        <w:rPr>
          <w:rFonts w:hint="eastAsia" w:ascii="Times New Roman" w:hAnsi="Times New Roman" w:eastAsia="宋体"/>
        </w:rPr>
        <w:t>无血清培养主要注意事项</w:t>
      </w:r>
    </w:p>
    <w:p>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rPr>
      </w:pPr>
      <w:r>
        <w:rPr>
          <w:rFonts w:hint="eastAsia" w:ascii="Times New Roman" w:hAnsi="Times New Roman" w:eastAsia="宋体"/>
        </w:rPr>
        <w:t>在使用胎牛血清培养时，血清除了提供可以满足细胞生长的基本因子以外，还对细胞提供一定的保护作用，包括抑制蛋白酶活性和起胶体保护作用。因为这些原因， 在做无血清培养时需要注意如下几点：</w:t>
      </w:r>
    </w:p>
    <w:p>
      <w:pPr>
        <w:pStyle w:val="11"/>
        <w:pageBreakBefore w:val="0"/>
        <w:widowControl/>
        <w:numPr>
          <w:ilvl w:val="0"/>
          <w:numId w:val="4"/>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不必将培养液在37℃预热，以免添加的生长因子在37℃温度下迅速降低活性；</w:t>
      </w:r>
    </w:p>
    <w:p>
      <w:pPr>
        <w:pStyle w:val="11"/>
        <w:pageBreakBefore w:val="0"/>
        <w:widowControl/>
        <w:numPr>
          <w:ilvl w:val="0"/>
          <w:numId w:val="4"/>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使用胰酶或胶原蛋白酶分离细胞或传代细胞时一定要在酶消化结束后用培养液将细胞清洗两次以上以去除残余的蛋白酶，否则残余蛋白酶会导致细胞死亡；</w:t>
      </w:r>
    </w:p>
    <w:p>
      <w:pPr>
        <w:pStyle w:val="11"/>
        <w:pageBreakBefore w:val="0"/>
        <w:widowControl/>
        <w:numPr>
          <w:ilvl w:val="0"/>
          <w:numId w:val="4"/>
        </w:numPr>
        <w:kinsoku/>
        <w:wordWrap/>
        <w:overflowPunct/>
        <w:topLinePunct w:val="0"/>
        <w:autoSpaceDE/>
        <w:autoSpaceDN/>
        <w:bidi w:val="0"/>
        <w:adjustRightInd/>
        <w:snapToGrid/>
        <w:spacing w:after="0" w:line="360" w:lineRule="auto"/>
        <w:ind w:left="0" w:firstLine="0"/>
        <w:jc w:val="both"/>
        <w:textAlignment w:val="auto"/>
        <w:rPr>
          <w:rFonts w:ascii="Times New Roman" w:hAnsi="Times New Roman" w:eastAsia="宋体"/>
          <w:sz w:val="24"/>
          <w:szCs w:val="24"/>
        </w:rPr>
      </w:pPr>
      <w:r>
        <w:rPr>
          <w:rFonts w:hint="eastAsia" w:ascii="Times New Roman" w:hAnsi="Times New Roman" w:eastAsia="宋体"/>
          <w:sz w:val="24"/>
          <w:szCs w:val="24"/>
        </w:rPr>
        <w:t>确保使用低温保存且具有生物活性的生长因子，避免使用常温保存或反复冻融的产品。</w:t>
      </w:r>
    </w:p>
    <w:p>
      <w:pPr>
        <w:pStyle w:val="2"/>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sz w:val="24"/>
          <w:szCs w:val="24"/>
        </w:rPr>
      </w:pPr>
    </w:p>
    <w:sectPr>
      <w:headerReference r:id="rId5" w:type="default"/>
      <w:footerReference r:id="rId6" w:type="default"/>
      <w:pgSz w:w="12240" w:h="15840"/>
      <w:pgMar w:top="1440" w:right="1077" w:bottom="1440" w:left="107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528027"/>
      <w:docPartObj>
        <w:docPartGallery w:val="autotext"/>
      </w:docPartObj>
    </w:sdtPr>
    <w:sdtContent>
      <w:sdt>
        <w:sdtPr>
          <w:id w:val="-1769616900"/>
          <w:docPartObj>
            <w:docPartGallery w:val="autotext"/>
          </w:docPartObj>
        </w:sdtPr>
        <w:sdtContent>
          <w:p>
            <w:pPr>
              <w:pStyle w:val="4"/>
              <w:jc w:val="right"/>
            </w:pPr>
            <w:r>
              <w:rPr>
                <w:lang w:val="zh-CN"/>
              </w:rPr>
              <w:t xml:space="preserve"> </w:t>
            </w: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w:t>
            </w:r>
            <w:r>
              <w:rPr>
                <w:b/>
                <w:bCs/>
              </w:rPr>
              <w:fldChar w:fldCharType="end"/>
            </w:r>
          </w:p>
        </w:sdtContent>
      </w:sdt>
    </w:sdtContent>
  </w:sdt>
  <w:p>
    <w:pPr>
      <w:pStyle w:val="4"/>
    </w:pPr>
    <w:r>
      <w:rPr>
        <w:sz w:val="18"/>
        <w:szCs w:val="18"/>
      </w:rP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tabs>
        <w:tab w:val="center" w:pos="4153"/>
        <w:tab w:val="right" w:pos="8306"/>
        <w:tab w:val="clear" w:pos="4680"/>
        <w:tab w:val="clear" w:pos="9360"/>
      </w:tabs>
      <w:jc w:val="both"/>
      <w:rPr>
        <w:color w:val="000000" w:themeColor="text1"/>
        <w14:textFill>
          <w14:solidFill>
            <w14:schemeClr w14:val="tx1"/>
          </w14:solidFill>
        </w14:textFill>
      </w:rPr>
    </w:pPr>
    <w:r>
      <w:rPr>
        <w:rFonts w:hint="eastAsia"/>
      </w:rPr>
      <w:drawing>
        <wp:inline distT="0" distB="0" distL="114300" distR="114300">
          <wp:extent cx="924560" cy="318770"/>
          <wp:effectExtent l="0" t="0" r="0" b="4445"/>
          <wp:docPr id="38" name="图片 38"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rPr>
      <w:t xml:space="preserve">           </w:t>
    </w:r>
    <w:r>
      <w:t xml:space="preserve">                                                                  </w:t>
    </w:r>
    <w:r>
      <w:rPr>
        <w:rFonts w:hint="eastAsia"/>
        <w:sz w:val="18"/>
        <w:szCs w:val="18"/>
      </w:rPr>
      <w:t>Tel：0756-363118</w:t>
    </w:r>
    <w:r>
      <w:rPr>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D6B47"/>
    <w:multiLevelType w:val="singleLevel"/>
    <w:tmpl w:val="2E1D6B47"/>
    <w:lvl w:ilvl="0" w:tentative="0">
      <w:start w:val="1"/>
      <w:numFmt w:val="decimal"/>
      <w:lvlText w:val="%1."/>
      <w:lvlJc w:val="left"/>
      <w:pPr>
        <w:ind w:left="425" w:hanging="425"/>
      </w:pPr>
      <w:rPr>
        <w:rFonts w:hint="default"/>
      </w:rPr>
    </w:lvl>
  </w:abstractNum>
  <w:abstractNum w:abstractNumId="1">
    <w:nsid w:val="3C1828C5"/>
    <w:multiLevelType w:val="multilevel"/>
    <w:tmpl w:val="3C1828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9C3AF8"/>
    <w:multiLevelType w:val="multilevel"/>
    <w:tmpl w:val="7C9C3AF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9E25A6"/>
    <w:multiLevelType w:val="multilevel"/>
    <w:tmpl w:val="7F9E25A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ZmQzNmZmMmJjODY2M2YxOWRjMjU0YjAwMmY0MzgifQ=="/>
  </w:docVars>
  <w:rsids>
    <w:rsidRoot w:val="00321B63"/>
    <w:rsid w:val="00015107"/>
    <w:rsid w:val="00030895"/>
    <w:rsid w:val="00090EA8"/>
    <w:rsid w:val="00094E4F"/>
    <w:rsid w:val="000A660C"/>
    <w:rsid w:val="000B7140"/>
    <w:rsid w:val="000B7222"/>
    <w:rsid w:val="000D2B66"/>
    <w:rsid w:val="00172476"/>
    <w:rsid w:val="001731C2"/>
    <w:rsid w:val="00185C7F"/>
    <w:rsid w:val="001A299C"/>
    <w:rsid w:val="001C1013"/>
    <w:rsid w:val="001F2A72"/>
    <w:rsid w:val="00227D65"/>
    <w:rsid w:val="002A1A43"/>
    <w:rsid w:val="002C14F7"/>
    <w:rsid w:val="002E4CE2"/>
    <w:rsid w:val="00312319"/>
    <w:rsid w:val="003173AA"/>
    <w:rsid w:val="00321B63"/>
    <w:rsid w:val="003251FF"/>
    <w:rsid w:val="00330EC6"/>
    <w:rsid w:val="00351E35"/>
    <w:rsid w:val="003E0E37"/>
    <w:rsid w:val="00445730"/>
    <w:rsid w:val="00445F4F"/>
    <w:rsid w:val="00452FB5"/>
    <w:rsid w:val="00461627"/>
    <w:rsid w:val="0049116F"/>
    <w:rsid w:val="004D1AC0"/>
    <w:rsid w:val="004E7429"/>
    <w:rsid w:val="00552AB9"/>
    <w:rsid w:val="005B2FBB"/>
    <w:rsid w:val="005C74CD"/>
    <w:rsid w:val="00617446"/>
    <w:rsid w:val="0061788A"/>
    <w:rsid w:val="00650A0C"/>
    <w:rsid w:val="00692EBF"/>
    <w:rsid w:val="006B3DD6"/>
    <w:rsid w:val="006D0F7E"/>
    <w:rsid w:val="006F5EFD"/>
    <w:rsid w:val="00707AD4"/>
    <w:rsid w:val="00713E6E"/>
    <w:rsid w:val="00725019"/>
    <w:rsid w:val="00734B73"/>
    <w:rsid w:val="007778E0"/>
    <w:rsid w:val="007A6993"/>
    <w:rsid w:val="008927D7"/>
    <w:rsid w:val="008A334C"/>
    <w:rsid w:val="008C7285"/>
    <w:rsid w:val="00946EC4"/>
    <w:rsid w:val="00980884"/>
    <w:rsid w:val="009B513D"/>
    <w:rsid w:val="009D4F91"/>
    <w:rsid w:val="009F520F"/>
    <w:rsid w:val="00A4367C"/>
    <w:rsid w:val="00A437CE"/>
    <w:rsid w:val="00A80A9F"/>
    <w:rsid w:val="00B07109"/>
    <w:rsid w:val="00B237D5"/>
    <w:rsid w:val="00B70E43"/>
    <w:rsid w:val="00B8193A"/>
    <w:rsid w:val="00B92803"/>
    <w:rsid w:val="00BA684E"/>
    <w:rsid w:val="00BE30F9"/>
    <w:rsid w:val="00CA4E26"/>
    <w:rsid w:val="00D3751A"/>
    <w:rsid w:val="00D53A1C"/>
    <w:rsid w:val="00D57856"/>
    <w:rsid w:val="00D72E79"/>
    <w:rsid w:val="00D84E89"/>
    <w:rsid w:val="00DA3593"/>
    <w:rsid w:val="00DD3732"/>
    <w:rsid w:val="00E027EE"/>
    <w:rsid w:val="00E27C72"/>
    <w:rsid w:val="00F00616"/>
    <w:rsid w:val="00F308A6"/>
    <w:rsid w:val="00F3133F"/>
    <w:rsid w:val="00F42B70"/>
    <w:rsid w:val="00F44F75"/>
    <w:rsid w:val="00F7379C"/>
    <w:rsid w:val="00F81601"/>
    <w:rsid w:val="00FB22D9"/>
    <w:rsid w:val="00FB70CA"/>
    <w:rsid w:val="00FC141F"/>
    <w:rsid w:val="096E7608"/>
    <w:rsid w:val="142F2EFC"/>
    <w:rsid w:val="2B825664"/>
    <w:rsid w:val="439D2E3F"/>
    <w:rsid w:val="46C6427C"/>
    <w:rsid w:val="547602CF"/>
    <w:rsid w:val="5524189E"/>
    <w:rsid w:val="579D60BF"/>
    <w:rsid w:val="660643DF"/>
    <w:rsid w:val="7405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sz w:val="24"/>
      <w:szCs w:val="24"/>
      <w:lang w:val="en-US" w:eastAsia="zh-CN" w:bidi="ar-SA"/>
    </w:rPr>
  </w:style>
  <w:style w:type="paragraph" w:styleId="2">
    <w:name w:val="heading 1"/>
    <w:basedOn w:val="1"/>
    <w:next w:val="1"/>
    <w:link w:val="14"/>
    <w:autoRedefine/>
    <w:qFormat/>
    <w:uiPriority w:val="9"/>
    <w:pPr>
      <w:keepNext/>
      <w:keepLines/>
      <w:outlineLvl w:val="0"/>
    </w:pPr>
    <w:rPr>
      <w:rFonts w:ascii="Times New Roman" w:hAnsi="Times New Roman"/>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680"/>
        <w:tab w:val="right" w:pos="9360"/>
      </w:tabs>
    </w:pPr>
  </w:style>
  <w:style w:type="paragraph" w:styleId="5">
    <w:name w:val="header"/>
    <w:basedOn w:val="1"/>
    <w:link w:val="9"/>
    <w:unhideWhenUsed/>
    <w:qFormat/>
    <w:uiPriority w:val="0"/>
    <w:pPr>
      <w:tabs>
        <w:tab w:val="center" w:pos="4680"/>
        <w:tab w:val="right" w:pos="9360"/>
      </w:tabs>
    </w:pPr>
  </w:style>
  <w:style w:type="paragraph" w:styleId="6">
    <w:name w:val="Title"/>
    <w:basedOn w:val="1"/>
    <w:next w:val="1"/>
    <w:link w:val="13"/>
    <w:autoRedefine/>
    <w:qFormat/>
    <w:uiPriority w:val="10"/>
    <w:pPr>
      <w:spacing w:before="50" w:beforeLines="50" w:after="50" w:afterLines="50"/>
      <w:jc w:val="center"/>
      <w:outlineLvl w:val="0"/>
    </w:pPr>
    <w:rPr>
      <w:rFonts w:ascii="Times New Roman" w:hAnsi="Times New Roman" w:eastAsiaTheme="majorEastAsia" w:cstheme="majorBidi"/>
      <w:b/>
      <w:bCs/>
      <w:sz w:val="36"/>
      <w:szCs w:val="32"/>
    </w:rPr>
  </w:style>
  <w:style w:type="character" w:customStyle="1" w:styleId="9">
    <w:name w:val="页眉 字符"/>
    <w:basedOn w:val="8"/>
    <w:link w:val="5"/>
    <w:autoRedefine/>
    <w:qFormat/>
    <w:uiPriority w:val="99"/>
  </w:style>
  <w:style w:type="character" w:customStyle="1" w:styleId="10">
    <w:name w:val="页脚 字符"/>
    <w:basedOn w:val="8"/>
    <w:link w:val="4"/>
    <w:autoRedefine/>
    <w:qFormat/>
    <w:uiPriority w:val="99"/>
  </w:style>
  <w:style w:type="paragraph" w:styleId="11">
    <w:name w:val="List Paragraph"/>
    <w:basedOn w:val="1"/>
    <w:qFormat/>
    <w:uiPriority w:val="34"/>
    <w:pPr>
      <w:spacing w:after="160" w:line="259" w:lineRule="auto"/>
      <w:ind w:left="720"/>
      <w:contextualSpacing/>
    </w:pPr>
    <w:rPr>
      <w:sz w:val="22"/>
      <w:szCs w:val="22"/>
    </w:rPr>
  </w:style>
  <w:style w:type="character" w:customStyle="1" w:styleId="12">
    <w:name w:val="批注框文本 字符"/>
    <w:basedOn w:val="8"/>
    <w:link w:val="3"/>
    <w:semiHidden/>
    <w:qFormat/>
    <w:uiPriority w:val="99"/>
    <w:rPr>
      <w:rFonts w:asciiTheme="minorHAnsi" w:hAnsiTheme="minorHAnsi" w:eastAsiaTheme="minorEastAsia" w:cstheme="minorBidi"/>
      <w:sz w:val="18"/>
      <w:szCs w:val="18"/>
    </w:rPr>
  </w:style>
  <w:style w:type="character" w:customStyle="1" w:styleId="13">
    <w:name w:val="标题 字符"/>
    <w:basedOn w:val="8"/>
    <w:link w:val="6"/>
    <w:qFormat/>
    <w:uiPriority w:val="10"/>
    <w:rPr>
      <w:rFonts w:eastAsiaTheme="majorEastAsia" w:cstheme="majorBidi"/>
      <w:b/>
      <w:bCs/>
      <w:sz w:val="36"/>
      <w:szCs w:val="32"/>
    </w:rPr>
  </w:style>
  <w:style w:type="character" w:customStyle="1" w:styleId="14">
    <w:name w:val="标题 1 字符"/>
    <w:basedOn w:val="8"/>
    <w:link w:val="2"/>
    <w:uiPriority w:val="9"/>
    <w:rPr>
      <w:rFonts w:eastAsiaTheme="minorEastAsia" w:cstheme="minorBidi"/>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1003</Words>
  <Characters>1112</Characters>
  <Lines>8</Lines>
  <Paragraphs>2</Paragraphs>
  <TotalTime>11</TotalTime>
  <ScaleCrop>false</ScaleCrop>
  <LinksUpToDate>false</LinksUpToDate>
  <CharactersWithSpaces>1131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2022-10-10T03:04:00Z</dcterms:created>
  <dc:creator>JJ Wu</dc:creator>
  <cp:lastModifiedBy>麟柘</cp:lastModifiedBy>
  <cp:lastPrinted>2022-10-17T06:00:00Z</cp:lastPrinted>
  <dcterms:modified xsi:type="dcterms:W3CDTF">2024-03-12T06:57:03Z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979D43FE34E8440BB09D0DD1222B8ACA</vt:lpwstr>
  </property>
</Properties>
</file>